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F23AFC" w:rsidRPr="00F23AFC">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2E746F" w:rsidRPr="00487696" w:rsidRDefault="002E746F" w:rsidP="002E746F">
      <w:pPr>
        <w:spacing w:before="120" w:after="120" w:line="259" w:lineRule="auto"/>
        <w:ind w:left="46" w:right="97" w:firstLine="521"/>
        <w:jc w:val="both"/>
        <w:rPr>
          <w:rFonts w:asciiTheme="majorHAnsi" w:hAnsiTheme="majorHAnsi" w:cstheme="majorHAnsi"/>
          <w:b/>
          <w:bCs/>
          <w:color w:val="000000"/>
          <w:lang w:val="hr-HR"/>
        </w:rPr>
      </w:pPr>
      <w:r w:rsidRPr="00F66366">
        <w:rPr>
          <w:rFonts w:asciiTheme="majorHAnsi" w:hAnsiTheme="majorHAnsi" w:cstheme="majorHAnsi"/>
          <w:b/>
          <w:bCs/>
          <w:color w:val="000000"/>
          <w:lang w:val="vi-VN"/>
        </w:rPr>
        <w:t>16. Tên thủ tục hành chính:</w:t>
      </w:r>
      <w:r w:rsidRPr="00F66366">
        <w:rPr>
          <w:rFonts w:asciiTheme="majorHAnsi" w:eastAsia="Calibri" w:hAnsiTheme="majorHAnsi" w:cstheme="majorHAnsi"/>
          <w:b/>
          <w:bCs/>
          <w:color w:val="000000"/>
          <w:spacing w:val="-2"/>
          <w:lang w:val="vi-VN"/>
        </w:rPr>
        <w:t xml:space="preserve"> </w:t>
      </w:r>
      <w:bookmarkStart w:id="1" w:name="_Hlk143349264"/>
      <w:r w:rsidRPr="00487696">
        <w:rPr>
          <w:rFonts w:asciiTheme="majorHAnsi" w:hAnsiTheme="majorHAnsi" w:cstheme="majorHAnsi"/>
          <w:b/>
          <w:bCs/>
          <w:lang w:val="vi-VN"/>
        </w:rPr>
        <w:t xml:space="preserve">Cho phép </w:t>
      </w:r>
      <w:bookmarkStart w:id="2" w:name="_Hlk143348554"/>
      <w:r w:rsidRPr="00487696">
        <w:rPr>
          <w:rFonts w:asciiTheme="majorHAnsi" w:hAnsiTheme="majorHAnsi" w:cstheme="majorHAnsi"/>
          <w:b/>
          <w:bCs/>
          <w:lang w:val="vi-VN"/>
        </w:rPr>
        <w:t>người nước ngoài vào Việt Nam chuyển giao kỹ thuật chuyên môn về khám bệnh, chữa bệnh hoặc hợp tác đào tạo về y khoa có thực hành khám bệnh, chữa bệnh</w:t>
      </w:r>
      <w:bookmarkEnd w:id="1"/>
      <w:bookmarkEnd w:id="2"/>
      <w:r w:rsidRPr="00487696">
        <w:rPr>
          <w:rFonts w:asciiTheme="majorHAnsi" w:hAnsiTheme="majorHAnsi" w:cstheme="majorHAnsi"/>
          <w:b/>
          <w:bCs/>
          <w:lang w:val="vi-VN"/>
        </w:rPr>
        <w:t xml:space="preserve"> - </w:t>
      </w:r>
      <w:hyperlink r:id="rId8" w:history="1">
        <w:r w:rsidRPr="00487696">
          <w:rPr>
            <w:rFonts w:asciiTheme="majorHAnsi" w:hAnsiTheme="majorHAnsi" w:cstheme="majorHAnsi"/>
            <w:b/>
            <w:bCs/>
            <w:lang w:val="vi-VN"/>
          </w:rPr>
          <w:t>1.012258</w:t>
        </w:r>
      </w:hyperlink>
      <w:r w:rsidRPr="00487696">
        <w:rPr>
          <w:rFonts w:asciiTheme="majorHAnsi" w:hAnsiTheme="majorHAnsi" w:cstheme="majorHAnsi"/>
          <w:b/>
          <w:bCs/>
          <w:lang w:val="vi-VN"/>
        </w:rPr>
        <w:t>.000.00.00.H20</w:t>
      </w:r>
      <w:r w:rsidRPr="00487696">
        <w:rPr>
          <w:rFonts w:asciiTheme="majorHAnsi" w:hAnsiTheme="majorHAnsi" w:cstheme="majorHAnsi"/>
          <w:b/>
          <w:bCs/>
          <w:color w:val="000000"/>
          <w:lang w:val="hr-HR"/>
        </w:rPr>
        <w:t xml:space="preserve"> </w:t>
      </w:r>
    </w:p>
    <w:p w:rsidR="002E746F" w:rsidRPr="00487696" w:rsidRDefault="002E746F" w:rsidP="002E746F">
      <w:pPr>
        <w:spacing w:before="120" w:after="120" w:line="259" w:lineRule="auto"/>
        <w:ind w:left="46" w:right="97" w:firstLine="521"/>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16.1.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5"/>
        <w:tblW w:w="15134" w:type="dxa"/>
        <w:tblLook w:val="04A0" w:firstRow="1" w:lastRow="0" w:firstColumn="1" w:lastColumn="0" w:noHBand="0" w:noVBand="1"/>
      </w:tblPr>
      <w:tblGrid>
        <w:gridCol w:w="1242"/>
        <w:gridCol w:w="3119"/>
        <w:gridCol w:w="5386"/>
        <w:gridCol w:w="3969"/>
        <w:gridCol w:w="1418"/>
      </w:tblGrid>
      <w:tr w:rsidR="002E746F"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6" w:type="dxa"/>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2E746F" w:rsidRPr="00487696" w:rsidRDefault="002E746F"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2E746F" w:rsidRPr="00F23AFC" w:rsidTr="003B5DE2">
        <w:trPr>
          <w:trHeight w:val="1698"/>
        </w:trPr>
        <w:tc>
          <w:tcPr>
            <w:tcW w:w="1242" w:type="dxa"/>
            <w:vMerge w:val="restart"/>
            <w:tcBorders>
              <w:top w:val="single" w:sz="4" w:space="0" w:color="auto"/>
            </w:tcBorders>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2E746F" w:rsidRPr="00487696" w:rsidRDefault="002E746F"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bCs/>
                <w:i/>
                <w:iCs/>
                <w:color w:val="000000"/>
              </w:rPr>
              <w:t>Cá</w:t>
            </w:r>
            <w:r w:rsidRPr="00487696">
              <w:rPr>
                <w:rFonts w:asciiTheme="majorHAnsi" w:hAnsiTheme="majorHAnsi" w:cstheme="majorHAnsi"/>
                <w:i/>
                <w:color w:val="000000"/>
              </w:rPr>
              <w:t xml:space="preserve">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6" w:type="dxa"/>
            <w:tcBorders>
              <w:top w:val="single" w:sz="4" w:space="0" w:color="auto"/>
            </w:tcBorders>
          </w:tcPr>
          <w:p w:rsidR="002E746F" w:rsidRPr="00487696" w:rsidRDefault="002E746F"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2E746F" w:rsidRPr="00487696" w:rsidRDefault="002E746F"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2E746F" w:rsidRPr="00487696" w:rsidRDefault="002E746F"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2E746F" w:rsidRPr="00487696" w:rsidRDefault="002E746F" w:rsidP="003B5DE2">
            <w:pPr>
              <w:spacing w:after="120" w:line="234" w:lineRule="atLeast"/>
              <w:ind w:firstLine="315"/>
              <w:jc w:val="center"/>
              <w:rPr>
                <w:rFonts w:asciiTheme="majorHAnsi" w:hAnsiTheme="majorHAnsi" w:cstheme="majorHAnsi"/>
                <w:color w:val="000000"/>
                <w:lang w:val="vi-VN"/>
              </w:rPr>
            </w:pPr>
          </w:p>
        </w:tc>
      </w:tr>
      <w:tr w:rsidR="002E746F" w:rsidRPr="00487696" w:rsidTr="003B5DE2">
        <w:trPr>
          <w:trHeight w:val="633"/>
        </w:trPr>
        <w:tc>
          <w:tcPr>
            <w:tcW w:w="1242" w:type="dxa"/>
            <w:vMerge/>
          </w:tcPr>
          <w:p w:rsidR="002E746F" w:rsidRPr="00487696" w:rsidRDefault="002E746F" w:rsidP="003B5DE2">
            <w:pPr>
              <w:spacing w:before="120" w:after="120"/>
              <w:jc w:val="center"/>
              <w:rPr>
                <w:rFonts w:asciiTheme="majorHAnsi" w:hAnsiTheme="majorHAnsi" w:cstheme="majorHAnsi"/>
                <w:b/>
                <w:color w:val="000000"/>
                <w:lang w:val="vi-VN"/>
              </w:rPr>
            </w:pPr>
          </w:p>
        </w:tc>
        <w:tc>
          <w:tcPr>
            <w:tcW w:w="3119" w:type="dxa"/>
            <w:vMerge/>
          </w:tcPr>
          <w:p w:rsidR="002E746F" w:rsidRPr="00487696" w:rsidRDefault="002E746F" w:rsidP="003B5DE2">
            <w:pPr>
              <w:spacing w:before="120" w:after="120"/>
              <w:jc w:val="center"/>
              <w:rPr>
                <w:rFonts w:asciiTheme="majorHAnsi" w:hAnsiTheme="majorHAnsi" w:cstheme="majorHAnsi"/>
                <w:b/>
                <w:color w:val="000000"/>
                <w:lang w:val="vi-VN"/>
              </w:rPr>
            </w:pPr>
          </w:p>
        </w:tc>
        <w:tc>
          <w:tcPr>
            <w:tcW w:w="5386" w:type="dxa"/>
            <w:tcBorders>
              <w:top w:val="single" w:sz="4" w:space="0" w:color="auto"/>
            </w:tcBorders>
          </w:tcPr>
          <w:p w:rsidR="002E746F" w:rsidRPr="00487696" w:rsidRDefault="002E746F"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2E746F" w:rsidRPr="00487696" w:rsidRDefault="002E746F"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2E746F" w:rsidRPr="00487696" w:rsidRDefault="002E746F"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2E746F" w:rsidRPr="00487696" w:rsidRDefault="002E746F" w:rsidP="003B5DE2">
            <w:pPr>
              <w:spacing w:after="120" w:line="234" w:lineRule="atLeast"/>
              <w:ind w:firstLine="315"/>
              <w:jc w:val="center"/>
              <w:rPr>
                <w:rFonts w:asciiTheme="majorHAnsi" w:hAnsiTheme="majorHAnsi" w:cstheme="majorHAnsi"/>
                <w:color w:val="000000"/>
                <w:lang w:val="vi-VN"/>
              </w:rPr>
            </w:pPr>
          </w:p>
        </w:tc>
      </w:tr>
      <w:tr w:rsidR="002E746F" w:rsidRPr="00487696" w:rsidTr="003B5DE2">
        <w:trPr>
          <w:trHeight w:val="600"/>
        </w:trPr>
        <w:tc>
          <w:tcPr>
            <w:tcW w:w="1242" w:type="dxa"/>
            <w:vMerge w:val="restart"/>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2E746F" w:rsidRPr="00487696" w:rsidRDefault="002E746F"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6" w:type="dxa"/>
          </w:tcPr>
          <w:p w:rsidR="002E746F" w:rsidRPr="00487696" w:rsidRDefault="002E746F"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E746F" w:rsidRPr="00487696" w:rsidRDefault="002E746F"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2E746F" w:rsidRPr="00487696" w:rsidRDefault="002E746F"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2E746F" w:rsidRPr="00487696" w:rsidRDefault="002E746F"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2E746F" w:rsidRPr="00487696" w:rsidRDefault="002E746F" w:rsidP="003B5DE2">
            <w:pPr>
              <w:spacing w:after="120" w:line="234" w:lineRule="atLeast"/>
              <w:jc w:val="both"/>
              <w:rPr>
                <w:rFonts w:asciiTheme="majorHAnsi" w:hAnsiTheme="majorHAnsi" w:cstheme="majorHAnsi"/>
                <w:color w:val="000000"/>
              </w:rPr>
            </w:pPr>
          </w:p>
        </w:tc>
      </w:tr>
      <w:tr w:rsidR="002E746F" w:rsidRPr="00487696" w:rsidTr="003B5DE2">
        <w:trPr>
          <w:trHeight w:val="600"/>
        </w:trPr>
        <w:tc>
          <w:tcPr>
            <w:tcW w:w="1242" w:type="dxa"/>
            <w:vMerge/>
          </w:tcPr>
          <w:p w:rsidR="002E746F" w:rsidRPr="00487696" w:rsidRDefault="002E746F" w:rsidP="003B5DE2">
            <w:pPr>
              <w:spacing w:after="120" w:line="234" w:lineRule="atLeast"/>
              <w:jc w:val="both"/>
              <w:rPr>
                <w:rFonts w:asciiTheme="majorHAnsi" w:hAnsiTheme="majorHAnsi" w:cstheme="majorHAnsi"/>
                <w:b/>
                <w:color w:val="000000"/>
              </w:rPr>
            </w:pPr>
          </w:p>
        </w:tc>
        <w:tc>
          <w:tcPr>
            <w:tcW w:w="3119" w:type="dxa"/>
            <w:vMerge/>
          </w:tcPr>
          <w:p w:rsidR="002E746F" w:rsidRPr="00487696" w:rsidRDefault="002E746F" w:rsidP="003B5DE2">
            <w:pPr>
              <w:spacing w:before="120" w:after="120"/>
              <w:jc w:val="both"/>
              <w:rPr>
                <w:rFonts w:asciiTheme="majorHAnsi" w:hAnsiTheme="majorHAnsi" w:cstheme="majorHAnsi"/>
                <w:b/>
                <w:color w:val="000000"/>
              </w:rPr>
            </w:pPr>
          </w:p>
        </w:tc>
        <w:tc>
          <w:tcPr>
            <w:tcW w:w="5386" w:type="dxa"/>
          </w:tcPr>
          <w:p w:rsidR="002E746F" w:rsidRPr="00487696" w:rsidRDefault="002E746F"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E746F" w:rsidRPr="00487696" w:rsidRDefault="002E746F"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w:t>
            </w:r>
            <w:r w:rsidRPr="00487696">
              <w:rPr>
                <w:rFonts w:asciiTheme="majorHAnsi" w:hAnsiTheme="majorHAnsi" w:cstheme="majorHAnsi"/>
                <w:color w:val="000000"/>
              </w:rPr>
              <w:lastRenderedPageBreak/>
              <w:t>hiện thông qua chức năng gửi thư điện tử, gửi tin nhắn tới người dân của Cổng Dịch vụ công của tỉnh</w:t>
            </w:r>
          </w:p>
          <w:p w:rsidR="002E746F" w:rsidRPr="00487696" w:rsidRDefault="002E746F"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2E746F" w:rsidRPr="00487696" w:rsidRDefault="002E746F"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2E746F" w:rsidRPr="00487696" w:rsidRDefault="002E746F" w:rsidP="003B5DE2">
            <w:pPr>
              <w:spacing w:after="120" w:line="234" w:lineRule="atLeast"/>
              <w:jc w:val="center"/>
              <w:rPr>
                <w:rFonts w:asciiTheme="majorHAnsi" w:hAnsiTheme="majorHAnsi" w:cstheme="majorHAnsi"/>
                <w:color w:val="000000"/>
              </w:rPr>
            </w:pPr>
          </w:p>
        </w:tc>
      </w:tr>
      <w:tr w:rsidR="002E746F" w:rsidRPr="00487696" w:rsidTr="003B5DE2">
        <w:tc>
          <w:tcPr>
            <w:tcW w:w="1242" w:type="dxa"/>
            <w:vMerge w:val="restart"/>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6" w:type="dxa"/>
          </w:tcPr>
          <w:p w:rsidR="002E746F" w:rsidRPr="00487696" w:rsidRDefault="002E746F"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2E746F" w:rsidRPr="00487696" w:rsidRDefault="002E746F" w:rsidP="003B5DE2">
            <w:pPr>
              <w:spacing w:before="120" w:after="120"/>
              <w:jc w:val="both"/>
              <w:rPr>
                <w:rFonts w:asciiTheme="majorHAnsi" w:hAnsiTheme="majorHAnsi" w:cstheme="majorHAnsi"/>
                <w:color w:val="000000"/>
              </w:rPr>
            </w:pPr>
          </w:p>
        </w:tc>
        <w:tc>
          <w:tcPr>
            <w:tcW w:w="3969" w:type="dxa"/>
          </w:tcPr>
          <w:p w:rsidR="002E746F" w:rsidRPr="00487696" w:rsidRDefault="002E746F" w:rsidP="003B5DE2">
            <w:pPr>
              <w:spacing w:before="120" w:after="120"/>
              <w:jc w:val="center"/>
              <w:rPr>
                <w:rFonts w:asciiTheme="majorHAnsi" w:hAnsiTheme="majorHAnsi" w:cstheme="majorHAnsi"/>
              </w:rPr>
            </w:pPr>
            <w:r w:rsidRPr="00487696">
              <w:rPr>
                <w:rFonts w:asciiTheme="majorHAnsi" w:hAnsiTheme="majorHAnsi" w:cstheme="majorHAnsi"/>
                <w:bCs/>
                <w:iCs/>
              </w:rPr>
              <w:t>T</w:t>
            </w:r>
            <w:r w:rsidRPr="00487696">
              <w:rPr>
                <w:rFonts w:asciiTheme="majorHAnsi" w:hAnsiTheme="majorHAnsi" w:cstheme="majorHAnsi"/>
                <w:bCs/>
                <w:iCs/>
                <w:lang w:val="vi-VN"/>
              </w:rPr>
              <w:t>hời gian 1</w:t>
            </w:r>
            <w:r w:rsidRPr="00487696">
              <w:rPr>
                <w:rFonts w:asciiTheme="majorHAnsi" w:hAnsiTheme="majorHAnsi" w:cstheme="majorHAnsi"/>
                <w:bCs/>
                <w:iCs/>
              </w:rPr>
              <w:t>5</w:t>
            </w:r>
            <w:r w:rsidRPr="00487696">
              <w:rPr>
                <w:rFonts w:asciiTheme="majorHAnsi" w:hAnsiTheme="majorHAnsi" w:cstheme="majorHAnsi"/>
                <w:bCs/>
                <w:iCs/>
                <w:lang w:val="vi-VN"/>
              </w:rPr>
              <w:t xml:space="preserve"> ngày, kể từ ngày nhận đủ hồ sơ</w:t>
            </w:r>
          </w:p>
        </w:tc>
        <w:tc>
          <w:tcPr>
            <w:tcW w:w="1418" w:type="dxa"/>
          </w:tcPr>
          <w:p w:rsidR="002E746F" w:rsidRPr="00487696" w:rsidRDefault="002E746F" w:rsidP="003B5DE2">
            <w:pPr>
              <w:spacing w:after="120" w:line="234" w:lineRule="atLeast"/>
              <w:jc w:val="center"/>
              <w:rPr>
                <w:rFonts w:asciiTheme="majorHAnsi" w:hAnsiTheme="majorHAnsi" w:cstheme="majorHAnsi"/>
                <w:color w:val="000000"/>
              </w:rPr>
            </w:pPr>
          </w:p>
        </w:tc>
      </w:tr>
      <w:tr w:rsidR="002E746F" w:rsidRPr="00487696" w:rsidTr="003B5DE2">
        <w:tc>
          <w:tcPr>
            <w:tcW w:w="1242" w:type="dxa"/>
            <w:vMerge/>
          </w:tcPr>
          <w:p w:rsidR="002E746F" w:rsidRPr="00487696" w:rsidRDefault="002E746F" w:rsidP="003B5DE2">
            <w:pPr>
              <w:spacing w:after="120" w:line="234" w:lineRule="atLeast"/>
              <w:jc w:val="both"/>
              <w:rPr>
                <w:rFonts w:asciiTheme="majorHAnsi" w:hAnsiTheme="majorHAnsi" w:cstheme="majorHAnsi"/>
                <w:b/>
                <w:color w:val="000000"/>
              </w:rPr>
            </w:pPr>
          </w:p>
        </w:tc>
        <w:tc>
          <w:tcPr>
            <w:tcW w:w="3119" w:type="dxa"/>
            <w:vMerge/>
          </w:tcPr>
          <w:p w:rsidR="002E746F" w:rsidRPr="00487696" w:rsidRDefault="002E746F" w:rsidP="003B5DE2">
            <w:pPr>
              <w:spacing w:after="120" w:line="234" w:lineRule="atLeast"/>
              <w:jc w:val="both"/>
              <w:rPr>
                <w:rFonts w:asciiTheme="majorHAnsi" w:hAnsiTheme="majorHAnsi" w:cstheme="majorHAnsi"/>
                <w:b/>
                <w:color w:val="000000"/>
              </w:rPr>
            </w:pPr>
          </w:p>
        </w:tc>
        <w:tc>
          <w:tcPr>
            <w:tcW w:w="5386" w:type="dxa"/>
          </w:tcPr>
          <w:p w:rsidR="002E746F" w:rsidRPr="00487696" w:rsidRDefault="002E746F"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2E746F" w:rsidRPr="00487696" w:rsidRDefault="002E746F" w:rsidP="003B5DE2">
            <w:pPr>
              <w:spacing w:after="120" w:line="234" w:lineRule="atLeast"/>
              <w:jc w:val="center"/>
              <w:rPr>
                <w:rFonts w:asciiTheme="majorHAnsi" w:hAnsiTheme="majorHAnsi" w:cstheme="majorHAnsi"/>
                <w:bCs/>
                <w:i/>
                <w:color w:val="000000"/>
              </w:rPr>
            </w:pPr>
          </w:p>
        </w:tc>
      </w:tr>
      <w:tr w:rsidR="002E746F" w:rsidRPr="00487696" w:rsidTr="003B5DE2">
        <w:trPr>
          <w:trHeight w:val="465"/>
        </w:trPr>
        <w:tc>
          <w:tcPr>
            <w:tcW w:w="1242" w:type="dxa"/>
            <w:vMerge/>
          </w:tcPr>
          <w:p w:rsidR="002E746F" w:rsidRPr="00487696" w:rsidRDefault="002E746F" w:rsidP="003B5DE2">
            <w:pPr>
              <w:spacing w:after="120" w:line="234" w:lineRule="atLeast"/>
              <w:jc w:val="both"/>
              <w:rPr>
                <w:rFonts w:asciiTheme="majorHAnsi" w:hAnsiTheme="majorHAnsi" w:cstheme="majorHAnsi"/>
                <w:b/>
                <w:color w:val="000000"/>
              </w:rPr>
            </w:pPr>
          </w:p>
        </w:tc>
        <w:tc>
          <w:tcPr>
            <w:tcW w:w="3119" w:type="dxa"/>
            <w:vMerge/>
          </w:tcPr>
          <w:p w:rsidR="002E746F" w:rsidRPr="00487696" w:rsidRDefault="002E746F" w:rsidP="003B5DE2">
            <w:pPr>
              <w:spacing w:after="120" w:line="234" w:lineRule="atLeast"/>
              <w:jc w:val="both"/>
              <w:rPr>
                <w:rFonts w:asciiTheme="majorHAnsi" w:hAnsiTheme="majorHAnsi" w:cstheme="majorHAnsi"/>
                <w:b/>
                <w:color w:val="000000"/>
              </w:rPr>
            </w:pPr>
          </w:p>
        </w:tc>
        <w:tc>
          <w:tcPr>
            <w:tcW w:w="5386" w:type="dxa"/>
          </w:tcPr>
          <w:p w:rsidR="002E746F" w:rsidRPr="00487696" w:rsidRDefault="002E746F"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2E746F" w:rsidRPr="00487696" w:rsidRDefault="002E746F"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418" w:type="dxa"/>
          </w:tcPr>
          <w:p w:rsidR="002E746F" w:rsidRPr="00487696" w:rsidRDefault="002E746F" w:rsidP="003B5DE2">
            <w:pPr>
              <w:spacing w:after="120" w:line="234" w:lineRule="atLeast"/>
              <w:jc w:val="center"/>
              <w:rPr>
                <w:rFonts w:asciiTheme="majorHAnsi" w:hAnsiTheme="majorHAnsi" w:cstheme="majorHAnsi"/>
                <w:bCs/>
                <w:i/>
                <w:color w:val="000000"/>
              </w:rPr>
            </w:pPr>
          </w:p>
        </w:tc>
      </w:tr>
      <w:tr w:rsidR="002E746F" w:rsidRPr="00487696" w:rsidTr="003B5DE2">
        <w:tc>
          <w:tcPr>
            <w:tcW w:w="1242" w:type="dxa"/>
            <w:vMerge/>
          </w:tcPr>
          <w:p w:rsidR="002E746F" w:rsidRPr="00487696" w:rsidRDefault="002E746F" w:rsidP="003B5DE2">
            <w:pPr>
              <w:spacing w:after="120" w:line="234" w:lineRule="atLeast"/>
              <w:jc w:val="both"/>
              <w:rPr>
                <w:rFonts w:asciiTheme="majorHAnsi" w:hAnsiTheme="majorHAnsi" w:cstheme="majorHAnsi"/>
                <w:b/>
                <w:color w:val="000000"/>
                <w:lang w:val="sv-SE"/>
              </w:rPr>
            </w:pPr>
          </w:p>
        </w:tc>
        <w:tc>
          <w:tcPr>
            <w:tcW w:w="3119" w:type="dxa"/>
            <w:vMerge/>
          </w:tcPr>
          <w:p w:rsidR="002E746F" w:rsidRPr="00487696" w:rsidRDefault="002E746F" w:rsidP="003B5DE2">
            <w:pPr>
              <w:spacing w:after="120" w:line="234" w:lineRule="atLeast"/>
              <w:jc w:val="both"/>
              <w:rPr>
                <w:rFonts w:asciiTheme="majorHAnsi" w:hAnsiTheme="majorHAnsi" w:cstheme="majorHAnsi"/>
                <w:b/>
                <w:color w:val="000000"/>
                <w:lang w:val="sv-SE"/>
              </w:rPr>
            </w:pPr>
          </w:p>
        </w:tc>
        <w:tc>
          <w:tcPr>
            <w:tcW w:w="5386" w:type="dxa"/>
          </w:tcPr>
          <w:p w:rsidR="002E746F" w:rsidRPr="00487696" w:rsidRDefault="002E746F"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2E746F" w:rsidRPr="00487696" w:rsidRDefault="002E746F"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2E746F" w:rsidRPr="00487696" w:rsidRDefault="002E746F"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2E746F" w:rsidRPr="00487696" w:rsidRDefault="002E746F"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bCs/>
                <w:i/>
                <w:color w:val="000000"/>
              </w:rPr>
              <w:t>+ Văn thư</w:t>
            </w:r>
          </w:p>
        </w:tc>
        <w:tc>
          <w:tcPr>
            <w:tcW w:w="3969" w:type="dxa"/>
          </w:tcPr>
          <w:p w:rsidR="002E746F" w:rsidRPr="00487696" w:rsidRDefault="002E746F"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6</w:t>
            </w:r>
            <w:r w:rsidRPr="00487696">
              <w:rPr>
                <w:rFonts w:asciiTheme="majorHAnsi" w:hAnsiTheme="majorHAnsi" w:cstheme="majorHAnsi"/>
                <w:bCs/>
                <w:i/>
                <w:color w:val="000000"/>
              </w:rPr>
              <w:t xml:space="preserve"> ngày</w:t>
            </w:r>
          </w:p>
          <w:p w:rsidR="002E746F" w:rsidRPr="00487696" w:rsidRDefault="002E746F"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04 ngày</w:t>
            </w:r>
          </w:p>
          <w:p w:rsidR="002E746F" w:rsidRPr="00487696" w:rsidRDefault="002E746F"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2E746F" w:rsidRPr="00487696" w:rsidRDefault="002E746F" w:rsidP="003B5DE2">
            <w:pPr>
              <w:spacing w:after="120" w:line="234" w:lineRule="atLeast"/>
              <w:jc w:val="center"/>
              <w:rPr>
                <w:rFonts w:asciiTheme="majorHAnsi" w:hAnsiTheme="majorHAnsi" w:cstheme="majorHAnsi"/>
                <w:bCs/>
                <w:i/>
                <w:color w:val="000000"/>
              </w:rPr>
            </w:pPr>
          </w:p>
        </w:tc>
      </w:tr>
      <w:tr w:rsidR="002E746F" w:rsidRPr="00F23AFC" w:rsidTr="003B5DE2">
        <w:trPr>
          <w:trHeight w:val="3828"/>
        </w:trPr>
        <w:tc>
          <w:tcPr>
            <w:tcW w:w="1242" w:type="dxa"/>
            <w:vMerge/>
          </w:tcPr>
          <w:p w:rsidR="002E746F" w:rsidRPr="00487696" w:rsidRDefault="002E746F" w:rsidP="003B5DE2">
            <w:pPr>
              <w:spacing w:after="120" w:line="234" w:lineRule="atLeast"/>
              <w:jc w:val="both"/>
              <w:rPr>
                <w:rFonts w:asciiTheme="majorHAnsi" w:hAnsiTheme="majorHAnsi" w:cstheme="majorHAnsi"/>
                <w:b/>
                <w:color w:val="000000"/>
                <w:lang w:val="sv-SE"/>
              </w:rPr>
            </w:pPr>
          </w:p>
        </w:tc>
        <w:tc>
          <w:tcPr>
            <w:tcW w:w="3119" w:type="dxa"/>
            <w:vMerge/>
          </w:tcPr>
          <w:p w:rsidR="002E746F" w:rsidRPr="00487696" w:rsidRDefault="002E746F" w:rsidP="003B5DE2">
            <w:pPr>
              <w:spacing w:after="120" w:line="234" w:lineRule="atLeast"/>
              <w:jc w:val="both"/>
              <w:rPr>
                <w:rFonts w:asciiTheme="majorHAnsi" w:hAnsiTheme="majorHAnsi" w:cstheme="majorHAnsi"/>
                <w:b/>
                <w:color w:val="000000"/>
                <w:lang w:val="sv-SE"/>
              </w:rPr>
            </w:pPr>
          </w:p>
        </w:tc>
        <w:tc>
          <w:tcPr>
            <w:tcW w:w="5386" w:type="dxa"/>
          </w:tcPr>
          <w:p w:rsidR="002E746F" w:rsidRPr="00487696" w:rsidRDefault="002E746F"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2E746F" w:rsidRPr="00487696" w:rsidRDefault="002E746F"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color w:val="000000"/>
                <w:lang w:val="sv-SE"/>
              </w:rPr>
              <w:t>Trả lại hồ sơ không quá 03 ngày làm việc</w:t>
            </w:r>
          </w:p>
        </w:tc>
        <w:tc>
          <w:tcPr>
            <w:tcW w:w="1418" w:type="dxa"/>
          </w:tcPr>
          <w:p w:rsidR="002E746F" w:rsidRPr="00487696" w:rsidRDefault="002E746F" w:rsidP="003B5DE2">
            <w:pPr>
              <w:spacing w:after="120" w:line="234" w:lineRule="atLeast"/>
              <w:jc w:val="center"/>
              <w:rPr>
                <w:rFonts w:asciiTheme="majorHAnsi" w:hAnsiTheme="majorHAnsi" w:cstheme="majorHAnsi"/>
                <w:bCs/>
                <w:i/>
                <w:color w:val="000000"/>
                <w:lang w:val="sv-SE"/>
              </w:rPr>
            </w:pPr>
          </w:p>
        </w:tc>
      </w:tr>
      <w:tr w:rsidR="002E746F" w:rsidRPr="00F23AFC" w:rsidTr="003B5DE2">
        <w:tc>
          <w:tcPr>
            <w:tcW w:w="1242" w:type="dxa"/>
          </w:tcPr>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2E746F" w:rsidRPr="00487696" w:rsidRDefault="002E746F"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2E746F" w:rsidRPr="00487696" w:rsidRDefault="002E746F"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386" w:type="dxa"/>
          </w:tcPr>
          <w:p w:rsidR="002E746F" w:rsidRPr="00F66366" w:rsidRDefault="002E746F"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2E746F" w:rsidRPr="00F66366" w:rsidRDefault="002E746F"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E746F" w:rsidRPr="00F66366" w:rsidRDefault="002E746F"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2E746F" w:rsidRPr="00F66366" w:rsidRDefault="002E746F"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w:t>
            </w:r>
            <w:r w:rsidRPr="00F66366">
              <w:rPr>
                <w:rFonts w:asciiTheme="majorHAnsi" w:hAnsiTheme="majorHAnsi" w:cstheme="majorHAnsi"/>
                <w:color w:val="000000"/>
              </w:rPr>
              <w:lastRenderedPageBreak/>
              <w:t>Bưu điện) (nếu có)</w:t>
            </w:r>
          </w:p>
          <w:p w:rsidR="002E746F" w:rsidRPr="00487696" w:rsidRDefault="002E746F"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2E746F" w:rsidRPr="00487696" w:rsidRDefault="002E746F"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2E746F" w:rsidRPr="00487696" w:rsidRDefault="002E746F"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2E746F" w:rsidRPr="00487696" w:rsidRDefault="002E746F" w:rsidP="003B5DE2">
            <w:pPr>
              <w:spacing w:after="120" w:line="234" w:lineRule="atLeast"/>
              <w:jc w:val="center"/>
              <w:rPr>
                <w:rFonts w:asciiTheme="majorHAnsi" w:hAnsiTheme="majorHAnsi" w:cstheme="majorHAnsi"/>
                <w:bCs/>
                <w:i/>
                <w:color w:val="000000"/>
                <w:lang w:val="nl-NL"/>
              </w:rPr>
            </w:pPr>
          </w:p>
        </w:tc>
      </w:tr>
    </w:tbl>
    <w:p w:rsidR="002E746F" w:rsidRPr="00487696" w:rsidRDefault="002E746F" w:rsidP="002E746F">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16.2.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2E746F" w:rsidRPr="00487696" w:rsidRDefault="002E746F" w:rsidP="002E746F">
      <w:pPr>
        <w:spacing w:before="60" w:after="60" w:line="259" w:lineRule="auto"/>
        <w:ind w:left="71" w:right="142" w:firstLine="493"/>
        <w:rPr>
          <w:rFonts w:asciiTheme="majorHAnsi" w:eastAsia="Calibri" w:hAnsiTheme="majorHAnsi" w:cstheme="majorHAnsi"/>
          <w:lang w:val="vi-VN"/>
        </w:rPr>
      </w:pPr>
      <w:r w:rsidRPr="00487696">
        <w:rPr>
          <w:rFonts w:asciiTheme="majorHAnsi" w:eastAsia="Calibri" w:hAnsiTheme="majorHAnsi" w:cstheme="majorHAnsi"/>
          <w:b/>
          <w:bCs/>
          <w:i/>
          <w:iCs/>
          <w:lang w:val="vi-VN"/>
        </w:rPr>
        <w:t>Thành phần hồ sơ bao gồm:</w:t>
      </w:r>
    </w:p>
    <w:p w:rsidR="002E746F" w:rsidRPr="00487696" w:rsidRDefault="002E746F" w:rsidP="002E746F">
      <w:pPr>
        <w:spacing w:before="60" w:after="60" w:line="259" w:lineRule="auto"/>
        <w:ind w:right="142" w:firstLine="709"/>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2.1. </w:t>
      </w:r>
      <w:r w:rsidRPr="00487696">
        <w:rPr>
          <w:rFonts w:asciiTheme="majorHAnsi" w:eastAsia="Calibri" w:hAnsiTheme="majorHAnsi" w:cstheme="majorHAnsi"/>
          <w:iCs/>
          <w:lang w:val="vi-VN"/>
        </w:rPr>
        <w:t>Văn bản đề nghị cho phép người nước ngoài vào Việt Nam khám bệnh, chữa bệnh theo đợt của cơ quan, tổ chức Việt Nam nơi tiếp nhận.</w:t>
      </w:r>
    </w:p>
    <w:p w:rsidR="002E746F" w:rsidRPr="00487696" w:rsidRDefault="002E746F" w:rsidP="002E746F">
      <w:pPr>
        <w:spacing w:before="60" w:after="60" w:line="259" w:lineRule="auto"/>
        <w:ind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t>2.2.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rsidR="002E746F" w:rsidRPr="00487696" w:rsidRDefault="002E746F" w:rsidP="002E746F">
      <w:pPr>
        <w:spacing w:before="60" w:after="60" w:line="259" w:lineRule="auto"/>
        <w:ind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t>2.3.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công dân hoặc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rsidR="002E746F" w:rsidRPr="00487696" w:rsidRDefault="002E746F" w:rsidP="002E746F">
      <w:pPr>
        <w:spacing w:before="60" w:after="60" w:line="259" w:lineRule="auto"/>
        <w:ind w:left="71"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t>2.4.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rsidR="002E746F" w:rsidRPr="00487696" w:rsidRDefault="002E746F" w:rsidP="002E746F">
      <w:pPr>
        <w:spacing w:before="60" w:after="60" w:line="259" w:lineRule="auto"/>
        <w:ind w:left="71"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w:t>
      </w:r>
    </w:p>
    <w:p w:rsidR="002E746F" w:rsidRPr="00487696" w:rsidRDefault="002E746F" w:rsidP="002E746F">
      <w:pPr>
        <w:spacing w:before="60" w:after="60" w:line="259" w:lineRule="auto"/>
        <w:ind w:left="71"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rsidR="002E746F" w:rsidRPr="00487696" w:rsidRDefault="002E746F" w:rsidP="002E746F">
      <w:pPr>
        <w:spacing w:before="60" w:after="60" w:line="259" w:lineRule="auto"/>
        <w:ind w:left="71" w:right="142" w:firstLine="709"/>
        <w:jc w:val="both"/>
        <w:rPr>
          <w:rFonts w:asciiTheme="majorHAnsi" w:eastAsia="Calibri" w:hAnsiTheme="majorHAnsi" w:cstheme="majorHAnsi"/>
          <w:iCs/>
          <w:lang w:val="vi-VN"/>
        </w:rPr>
      </w:pPr>
      <w:r w:rsidRPr="00487696">
        <w:rPr>
          <w:rFonts w:asciiTheme="majorHAnsi" w:eastAsia="Calibri" w:hAnsiTheme="majorHAnsi" w:cstheme="majorHAnsi"/>
          <w:iCs/>
          <w:lang w:val="vi-VN"/>
        </w:rPr>
        <w:t>2.5. Bảng kê thuốc (nếu có), trong đó phải có đủ các thông tin sau đây: Tên thuốc, hoạt chất, hạn sử dụng, số lưu hành và cam kết thuốc đang được lưu hành hợp pháp tại tối thiểu một quốc gia trên thế giới.</w:t>
      </w:r>
    </w:p>
    <w:p w:rsidR="002E746F" w:rsidRPr="00487696" w:rsidRDefault="002E746F" w:rsidP="002E746F">
      <w:pPr>
        <w:spacing w:after="120" w:line="234" w:lineRule="atLeast"/>
        <w:ind w:firstLine="709"/>
        <w:jc w:val="both"/>
        <w:rPr>
          <w:rFonts w:asciiTheme="majorHAnsi" w:hAnsiTheme="majorHAnsi" w:cstheme="majorHAnsi"/>
          <w:b/>
          <w:bCs/>
          <w:color w:val="000000"/>
          <w:lang w:val="vi-VN"/>
        </w:rPr>
      </w:pPr>
      <w:r w:rsidRPr="00487696">
        <w:rPr>
          <w:rFonts w:asciiTheme="majorHAnsi" w:eastAsia="Calibri" w:hAnsiTheme="majorHAnsi" w:cstheme="majorHAnsi"/>
          <w:iCs/>
          <w:lang w:val="vi-VN"/>
        </w:rPr>
        <w:t>2.6. Văn bản thỏa thuận giữa cơ quan, tổ chức của Việt Nam với người nước ngoài hoặc cơ quan, tổ chức nước ngoài về việc thực hiện hoạt động khám bệnh, chữa bệnh theo đợt tại Việt Nam.</w:t>
      </w:r>
    </w:p>
    <w:p w:rsidR="002E746F" w:rsidRPr="00F66366" w:rsidRDefault="002E746F" w:rsidP="002E746F">
      <w:pPr>
        <w:spacing w:after="120" w:line="234" w:lineRule="atLeast"/>
        <w:ind w:firstLine="564"/>
        <w:jc w:val="both"/>
        <w:rPr>
          <w:rFonts w:asciiTheme="majorHAnsi" w:hAnsiTheme="majorHAnsi" w:cstheme="majorHAnsi"/>
          <w:color w:val="000000"/>
          <w:lang w:val="vi-VN"/>
        </w:rPr>
      </w:pPr>
      <w:r w:rsidRPr="00487696">
        <w:rPr>
          <w:rFonts w:asciiTheme="majorHAnsi" w:hAnsiTheme="majorHAnsi" w:cstheme="majorHAnsi"/>
          <w:b/>
          <w:bCs/>
          <w:color w:val="000000"/>
          <w:lang w:val="pt-BR"/>
        </w:rPr>
        <w:t xml:space="preserve">16.3. Đối tượng thực hiện thủ tục hành chính: </w:t>
      </w:r>
      <w:r w:rsidRPr="00F66366">
        <w:rPr>
          <w:rFonts w:asciiTheme="majorHAnsi" w:hAnsiTheme="majorHAnsi" w:cstheme="majorHAnsi"/>
          <w:color w:val="000000"/>
          <w:lang w:val="vi-VN"/>
        </w:rPr>
        <w:t>Cá nhân.</w:t>
      </w:r>
    </w:p>
    <w:p w:rsidR="002E746F" w:rsidRPr="00F66366" w:rsidRDefault="002E746F" w:rsidP="002E746F">
      <w:pPr>
        <w:spacing w:after="120" w:line="234" w:lineRule="atLeast"/>
        <w:ind w:firstLine="567"/>
        <w:jc w:val="both"/>
        <w:rPr>
          <w:rFonts w:asciiTheme="majorHAnsi" w:hAnsiTheme="majorHAnsi" w:cstheme="majorHAnsi"/>
          <w:bCs/>
          <w:i/>
          <w:color w:val="000000"/>
          <w:lang w:val="vi-VN"/>
        </w:rPr>
      </w:pPr>
      <w:r w:rsidRPr="00487696">
        <w:rPr>
          <w:rFonts w:asciiTheme="majorHAnsi" w:hAnsiTheme="majorHAnsi" w:cstheme="majorHAnsi"/>
          <w:b/>
          <w:bCs/>
          <w:color w:val="000000"/>
          <w:lang w:val="pt-BR"/>
        </w:rPr>
        <w:t>16.4. Cơ quan giải quyết thủ tục hành chính:</w:t>
      </w:r>
      <w:r w:rsidRPr="00487696">
        <w:rPr>
          <w:rFonts w:asciiTheme="majorHAnsi" w:hAnsiTheme="majorHAnsi" w:cstheme="majorHAnsi"/>
          <w:color w:val="000000"/>
          <w:lang w:val="pt-BR"/>
        </w:rPr>
        <w:t> </w:t>
      </w:r>
      <w:r w:rsidRPr="00F66366">
        <w:rPr>
          <w:rFonts w:asciiTheme="majorHAnsi" w:eastAsia="Calibri" w:hAnsiTheme="majorHAnsi" w:cstheme="majorHAnsi"/>
          <w:lang w:val="vi-VN"/>
        </w:rPr>
        <w:t>Cơ quan chuyên môn về y tế thuộc Ủy ban nhân dân cấp tỉnh</w:t>
      </w:r>
      <w:r w:rsidRPr="00487696">
        <w:rPr>
          <w:rFonts w:asciiTheme="majorHAnsi" w:hAnsiTheme="majorHAnsi" w:cstheme="majorHAnsi"/>
          <w:color w:val="000000"/>
          <w:lang w:val="vi-VN"/>
        </w:rPr>
        <w:t xml:space="preserve"> </w:t>
      </w:r>
      <w:r w:rsidRPr="00F66366">
        <w:rPr>
          <w:rFonts w:asciiTheme="majorHAnsi" w:hAnsiTheme="majorHAnsi" w:cstheme="majorHAnsi"/>
          <w:color w:val="000000"/>
          <w:lang w:val="vi-VN"/>
        </w:rPr>
        <w:t>(</w:t>
      </w:r>
      <w:r w:rsidRPr="00487696">
        <w:rPr>
          <w:rFonts w:asciiTheme="majorHAnsi" w:hAnsiTheme="majorHAnsi" w:cstheme="majorHAnsi"/>
          <w:color w:val="000000"/>
          <w:lang w:val="vi-VN"/>
        </w:rPr>
        <w:t>Sở Y tế</w:t>
      </w:r>
      <w:r w:rsidRPr="00F66366">
        <w:rPr>
          <w:rFonts w:asciiTheme="majorHAnsi" w:hAnsiTheme="majorHAnsi" w:cstheme="majorHAnsi"/>
          <w:color w:val="000000"/>
          <w:lang w:val="vi-VN"/>
        </w:rPr>
        <w:t>).</w:t>
      </w:r>
    </w:p>
    <w:p w:rsidR="002E746F" w:rsidRPr="00487696" w:rsidRDefault="002E746F" w:rsidP="002E746F">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 xml:space="preserve">16.5. Kết quả thực hiện thủ tục hành chính: </w:t>
      </w:r>
      <w:r w:rsidRPr="00487696">
        <w:rPr>
          <w:rFonts w:asciiTheme="majorHAnsi" w:eastAsia="Calibri" w:hAnsiTheme="majorHAnsi" w:cstheme="majorHAnsi"/>
          <w:bCs/>
          <w:lang w:val="vi-VN"/>
        </w:rPr>
        <w:t>Văn bản trả lời</w:t>
      </w:r>
      <w:r w:rsidRPr="00487696">
        <w:rPr>
          <w:rFonts w:asciiTheme="majorHAnsi" w:hAnsiTheme="majorHAnsi" w:cstheme="majorHAnsi"/>
          <w:b/>
          <w:bCs/>
          <w:color w:val="000000"/>
          <w:lang w:val="pt-BR"/>
        </w:rPr>
        <w:t>.</w:t>
      </w:r>
    </w:p>
    <w:p w:rsidR="002E746F" w:rsidRPr="00487696" w:rsidRDefault="002E746F" w:rsidP="002E746F">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16.6.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rFonts w:asciiTheme="majorHAnsi" w:eastAsia="Calibri" w:hAnsiTheme="majorHAnsi" w:cstheme="majorHAnsi"/>
          <w:lang w:val="vi-VN"/>
        </w:rPr>
        <w:t>Không quy định</w:t>
      </w:r>
      <w:r w:rsidRPr="00487696">
        <w:rPr>
          <w:rFonts w:asciiTheme="majorHAnsi" w:hAnsiTheme="majorHAnsi" w:cstheme="majorHAnsi"/>
          <w:b/>
          <w:bCs/>
          <w:color w:val="000000"/>
          <w:lang w:val="pt-BR"/>
        </w:rPr>
        <w:t xml:space="preserve"> </w:t>
      </w:r>
    </w:p>
    <w:p w:rsidR="002E746F" w:rsidRPr="00487696" w:rsidRDefault="002E746F" w:rsidP="002E746F">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 xml:space="preserve">16.7. Tên mẫu đơn, mẫu tờ khai: </w:t>
      </w:r>
      <w:r w:rsidRPr="00487696">
        <w:rPr>
          <w:rFonts w:asciiTheme="majorHAnsi" w:hAnsiTheme="majorHAnsi" w:cstheme="majorHAnsi"/>
          <w:bCs/>
          <w:color w:val="000000"/>
          <w:lang w:val="pt-BR"/>
        </w:rPr>
        <w:t>Không có</w:t>
      </w:r>
    </w:p>
    <w:p w:rsidR="002E746F" w:rsidRPr="00487696" w:rsidRDefault="002E746F" w:rsidP="002E746F">
      <w:pPr>
        <w:spacing w:before="60" w:after="60"/>
        <w:ind w:right="142" w:firstLine="567"/>
        <w:rPr>
          <w:rFonts w:asciiTheme="majorHAnsi" w:eastAsia="Calibri" w:hAnsiTheme="majorHAnsi" w:cstheme="majorHAnsi"/>
          <w:iCs/>
          <w:lang w:val="vi-VN"/>
        </w:rPr>
      </w:pPr>
      <w:r w:rsidRPr="00487696">
        <w:rPr>
          <w:rFonts w:asciiTheme="majorHAnsi" w:hAnsiTheme="majorHAnsi" w:cstheme="majorHAnsi"/>
          <w:b/>
          <w:bCs/>
          <w:color w:val="000000"/>
          <w:lang w:val="hr-HR"/>
        </w:rPr>
        <w:t xml:space="preserve">16.8. Yêu cầu, điều kiện thực hiện thủ tục hành chính: </w:t>
      </w:r>
      <w:r w:rsidRPr="00487696">
        <w:rPr>
          <w:rFonts w:asciiTheme="majorHAnsi" w:hAnsiTheme="majorHAnsi" w:cstheme="majorHAnsi"/>
          <w:color w:val="000000"/>
          <w:lang w:val="hr-HR"/>
        </w:rPr>
        <w:t xml:space="preserve"> </w:t>
      </w:r>
    </w:p>
    <w:p w:rsidR="002E746F" w:rsidRPr="00487696" w:rsidRDefault="002E746F" w:rsidP="002E746F">
      <w:pPr>
        <w:spacing w:before="120"/>
        <w:ind w:firstLine="567"/>
        <w:rPr>
          <w:rFonts w:asciiTheme="majorHAnsi" w:hAnsiTheme="majorHAnsi" w:cstheme="majorHAnsi"/>
          <w:b/>
          <w:bCs/>
          <w:lang w:val="vi-VN"/>
        </w:rPr>
      </w:pPr>
      <w:r w:rsidRPr="00487696">
        <w:rPr>
          <w:rFonts w:asciiTheme="majorHAnsi" w:hAnsiTheme="majorHAnsi" w:cstheme="majorHAnsi"/>
          <w:lang w:val="vi-VN"/>
        </w:rPr>
        <w:t>Điều kiện, hồ sơ, thủ tục cho phép người nước ngoài vào Việt Nam chuyển giao kỹ thuật chuyên môn về khám bệnh, chữa bệnh hoặc hợp tác đào tạo về y khoa có thực hành khám bệnh, chữa bệnh</w:t>
      </w:r>
      <w:r w:rsidRPr="00487696">
        <w:rPr>
          <w:rFonts w:asciiTheme="majorHAnsi" w:hAnsiTheme="majorHAnsi" w:cstheme="majorHAnsi"/>
          <w:sz w:val="24"/>
          <w:szCs w:val="24"/>
          <w:lang w:val="vi-VN"/>
        </w:rPr>
        <w:t xml:space="preserve"> </w:t>
      </w:r>
      <w:r w:rsidRPr="00487696">
        <w:rPr>
          <w:rFonts w:asciiTheme="majorHAnsi" w:hAnsiTheme="majorHAnsi" w:cstheme="majorHAnsi"/>
          <w:b/>
          <w:bCs/>
          <w:lang w:val="vi-VN"/>
        </w:rPr>
        <w:t>(Khoản 1, Điều 86, Nghị định 96/2023/NĐ-CP):</w:t>
      </w:r>
    </w:p>
    <w:p w:rsidR="002E746F" w:rsidRPr="00487696" w:rsidRDefault="002E746F" w:rsidP="002E746F">
      <w:pPr>
        <w:spacing w:before="60" w:after="60" w:line="259" w:lineRule="auto"/>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a) Có giấy phép hành nghề do cơ quan có thẩm quyền của nước ngoài cấp còn hiệu lực tại thời điểm thực hiện;</w:t>
      </w:r>
    </w:p>
    <w:p w:rsidR="002E746F" w:rsidRPr="00487696" w:rsidRDefault="002E746F" w:rsidP="002E746F">
      <w:pPr>
        <w:spacing w:before="60" w:after="60" w:line="259" w:lineRule="auto"/>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b) Đáp ứng điều kiện quy định về người nước ngoài vào Việt Nam học tập, lao động theo quy định của pháp luật;</w:t>
      </w:r>
    </w:p>
    <w:p w:rsidR="002E746F" w:rsidRPr="00487696" w:rsidRDefault="002E746F" w:rsidP="002E746F">
      <w:pPr>
        <w:spacing w:before="60" w:after="60" w:line="259" w:lineRule="auto"/>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c) Có người phiên dịch theo quy định tại khoản 2 Điều 35 Nghị định số 96/2023/NĐ-CP, trừ trường hợp biết tiếng Việt thành thạo;</w:t>
      </w:r>
    </w:p>
    <w:p w:rsidR="002E746F" w:rsidRPr="00487696" w:rsidRDefault="002E746F" w:rsidP="002E746F">
      <w:pPr>
        <w:spacing w:before="60" w:after="60" w:line="259" w:lineRule="auto"/>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d) Thuốc, thiết bị y tế sử dụng phải phù hợp với phạm vi hoạt động chuyên môn mà cá nhân, tổ chức đó đề nghị; có nguồn gốc xuất xứ rõ ràng và đã được cơ quan có thẩm quyền ở nước ngoài hoặc Việt Nam cấp phép lưu hành; còn thời hạn và sử dụng được;</w:t>
      </w:r>
    </w:p>
    <w:p w:rsidR="002E746F" w:rsidRPr="00487696" w:rsidRDefault="002E746F" w:rsidP="002E746F">
      <w:pPr>
        <w:spacing w:after="120" w:line="234" w:lineRule="atLeast"/>
        <w:ind w:firstLine="496"/>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Được sự đồng ý tiếp nhận của cơ quan, tổ chức, cơ sở khám bệnh, chữa bệnh của Việt Nam.</w:t>
      </w:r>
    </w:p>
    <w:p w:rsidR="002E746F" w:rsidRPr="00487696" w:rsidRDefault="002E746F" w:rsidP="002E746F">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16.9. Căn cứ pháp lý của thủ tục hành chính </w:t>
      </w:r>
    </w:p>
    <w:p w:rsidR="002E746F" w:rsidRPr="00487696" w:rsidRDefault="002E746F" w:rsidP="002E746F">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eastAsia="Calibri" w:hAnsiTheme="majorHAnsi" w:cstheme="majorHAnsi"/>
          <w:lang w:val="vi-VN"/>
        </w:rPr>
        <w:t>- Luật Khám bệnh, chữa bệnh số 15/2023/QH15 ngày 09 tháng 01 năm 2023;</w:t>
      </w:r>
    </w:p>
    <w:p w:rsidR="002E746F" w:rsidRPr="00487696" w:rsidRDefault="002E746F" w:rsidP="002E746F">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2E746F" w:rsidRPr="00487696" w:rsidRDefault="002E746F" w:rsidP="002E746F">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lastRenderedPageBreak/>
        <w:t>16.10.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2E746F"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E746F" w:rsidRPr="00F66366" w:rsidRDefault="002E746F"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E746F" w:rsidRPr="00487696" w:rsidRDefault="002E746F"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2E746F"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2E746F" w:rsidRPr="00F66366" w:rsidRDefault="002E746F" w:rsidP="003B5DE2">
            <w:pPr>
              <w:spacing w:before="120"/>
              <w:rPr>
                <w:rFonts w:asciiTheme="majorHAnsi" w:hAnsiTheme="majorHAnsi" w:cstheme="majorHAnsi"/>
                <w:color w:val="000000"/>
              </w:rPr>
            </w:pPr>
            <w:r w:rsidRPr="00F66366">
              <w:rPr>
                <w:rFonts w:asciiTheme="majorHAnsi" w:hAnsiTheme="majorHAnsi" w:cstheme="majorHAnsi"/>
                <w:color w:val="000000"/>
              </w:rPr>
              <w:t>- Như mục 16.2;</w:t>
            </w:r>
          </w:p>
          <w:p w:rsidR="002E746F" w:rsidRPr="00F66366" w:rsidRDefault="002E746F"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2E746F" w:rsidRPr="00F66366" w:rsidRDefault="002E746F"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2E746F" w:rsidRPr="00F66366" w:rsidRDefault="002E746F"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2E746F" w:rsidRPr="00F66366" w:rsidRDefault="002E746F"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2E746F" w:rsidRPr="00F66366" w:rsidRDefault="002E746F"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2E746F"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2E746F" w:rsidRPr="00F66366" w:rsidRDefault="002E746F"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2E746F" w:rsidRPr="00F66366" w:rsidRDefault="002E746F"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2E746F" w:rsidRPr="00F66366" w:rsidRDefault="002E746F" w:rsidP="003B5DE2">
            <w:pPr>
              <w:spacing w:before="40" w:after="40"/>
              <w:rPr>
                <w:rFonts w:asciiTheme="majorHAnsi" w:hAnsiTheme="majorHAnsi" w:cstheme="majorHAnsi"/>
                <w:color w:val="000000"/>
              </w:rPr>
            </w:pPr>
          </w:p>
        </w:tc>
      </w:tr>
    </w:tbl>
    <w:p w:rsidR="002E746F" w:rsidRPr="00F66366" w:rsidRDefault="002E746F" w:rsidP="002E746F">
      <w:pPr>
        <w:jc w:val="center"/>
        <w:rPr>
          <w:rFonts w:asciiTheme="majorHAnsi" w:hAnsiTheme="majorHAnsi" w:cstheme="majorHAnsi"/>
          <w:b/>
          <w:bCs/>
          <w:color w:val="000000"/>
          <w:sz w:val="24"/>
          <w:szCs w:val="24"/>
        </w:rPr>
      </w:pPr>
    </w:p>
    <w:p w:rsidR="002E746F" w:rsidRPr="00487696" w:rsidRDefault="002E746F" w:rsidP="002E746F">
      <w:pPr>
        <w:jc w:val="both"/>
        <w:rPr>
          <w:rFonts w:asciiTheme="majorHAnsi" w:hAnsiTheme="majorHAnsi" w:cstheme="majorHAnsi"/>
          <w:color w:val="000000"/>
          <w:lang w:val="es-AR"/>
        </w:rPr>
      </w:pPr>
    </w:p>
    <w:p w:rsidR="002E746F" w:rsidRPr="00487696" w:rsidRDefault="002E746F" w:rsidP="002E746F">
      <w:pPr>
        <w:jc w:val="both"/>
        <w:rPr>
          <w:rFonts w:asciiTheme="majorHAnsi" w:hAnsiTheme="majorHAnsi" w:cstheme="majorHAnsi"/>
          <w:color w:val="000000"/>
          <w:lang w:val="es-AR"/>
        </w:rPr>
      </w:pPr>
    </w:p>
    <w:p w:rsidR="009D739B" w:rsidRPr="002E746F" w:rsidRDefault="009D739B" w:rsidP="002E746F">
      <w:pPr>
        <w:spacing w:before="120" w:after="120" w:line="259" w:lineRule="auto"/>
        <w:ind w:left="46" w:right="97" w:firstLine="521"/>
        <w:jc w:val="both"/>
        <w:rPr>
          <w:rFonts w:asciiTheme="majorHAnsi" w:eastAsia="Calibri" w:hAnsiTheme="majorHAnsi" w:cstheme="majorHAnsi"/>
          <w:sz w:val="22"/>
          <w:szCs w:val="22"/>
          <w:lang w:val="es-AR"/>
        </w:rPr>
      </w:pPr>
    </w:p>
    <w:sectPr w:rsidR="009D739B" w:rsidRPr="002E746F" w:rsidSect="00157220">
      <w:headerReference w:type="default" r:id="rId10"/>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87" w:rsidRDefault="00EE6087" w:rsidP="009D739B">
      <w:r>
        <w:separator/>
      </w:r>
    </w:p>
  </w:endnote>
  <w:endnote w:type="continuationSeparator" w:id="0">
    <w:p w:rsidR="00EE6087" w:rsidRDefault="00EE6087"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87" w:rsidRDefault="00EE6087" w:rsidP="009D739B">
      <w:r>
        <w:separator/>
      </w:r>
    </w:p>
  </w:footnote>
  <w:footnote w:type="continuationSeparator" w:id="0">
    <w:p w:rsidR="00EE6087" w:rsidRDefault="00EE6087" w:rsidP="009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F23AFC">
          <w:rPr>
            <w:noProof/>
          </w:rPr>
          <w:t>1</w:t>
        </w:r>
        <w:r>
          <w:rPr>
            <w:noProof/>
          </w:rPr>
          <w:fldChar w:fldCharType="end"/>
        </w:r>
      </w:p>
    </w:sdtContent>
  </w:sdt>
  <w:p w:rsidR="00C41152" w:rsidRDefault="00EE6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D2E24"/>
    <w:rsid w:val="002E746F"/>
    <w:rsid w:val="00427B0C"/>
    <w:rsid w:val="004B4CDC"/>
    <w:rsid w:val="004F2127"/>
    <w:rsid w:val="00505E42"/>
    <w:rsid w:val="00526168"/>
    <w:rsid w:val="005D4449"/>
    <w:rsid w:val="00687CD9"/>
    <w:rsid w:val="0086036C"/>
    <w:rsid w:val="00881708"/>
    <w:rsid w:val="00886944"/>
    <w:rsid w:val="009868D2"/>
    <w:rsid w:val="009D739B"/>
    <w:rsid w:val="00A748F8"/>
    <w:rsid w:val="00BF3F46"/>
    <w:rsid w:val="00CB0515"/>
    <w:rsid w:val="00CF4038"/>
    <w:rsid w:val="00D91A0A"/>
    <w:rsid w:val="00D929D4"/>
    <w:rsid w:val="00EA1032"/>
    <w:rsid w:val="00EB2A6A"/>
    <w:rsid w:val="00EE6087"/>
    <w:rsid w:val="00F00F30"/>
    <w:rsid w:val="00F23AFC"/>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0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2024-07-12T08:16:00Z</dcterms:created>
  <dcterms:modified xsi:type="dcterms:W3CDTF">2024-07-12T08:27:00Z</dcterms:modified>
</cp:coreProperties>
</file>